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A34E" w14:textId="0E58037A" w:rsidR="00376EE3" w:rsidRPr="00376EE3" w:rsidRDefault="00376EE3" w:rsidP="00376EE3">
      <w:pPr>
        <w:tabs>
          <w:tab w:val="left" w:pos="708"/>
          <w:tab w:val="center" w:pos="4320"/>
          <w:tab w:val="right" w:pos="8640"/>
        </w:tabs>
        <w:spacing w:after="0" w:line="240" w:lineRule="auto"/>
        <w:jc w:val="center"/>
        <w:rPr>
          <w:rFonts w:ascii="Constantia" w:eastAsia="Times New Roman" w:hAnsi="Constantia" w:cs="Arial"/>
          <w:b/>
          <w:kern w:val="0"/>
          <w:sz w:val="24"/>
          <w:szCs w:val="24"/>
          <w:lang w:eastAsia="x-none"/>
          <w14:ligatures w14:val="none"/>
        </w:rPr>
      </w:pPr>
      <w:r w:rsidRPr="00376EE3">
        <w:rPr>
          <w:rFonts w:ascii="Constantia" w:eastAsia="Times New Roman" w:hAnsi="Constantia" w:cs="Arial"/>
          <w:b/>
          <w:kern w:val="0"/>
          <w:sz w:val="24"/>
          <w:szCs w:val="24"/>
          <w:lang w:eastAsia="x-none"/>
          <w14:ligatures w14:val="none"/>
        </w:rPr>
        <w:t>Obrazloženje</w:t>
      </w:r>
    </w:p>
    <w:p w14:paraId="69E74FF4" w14:textId="77777777" w:rsidR="00376EE3" w:rsidRPr="00376EE3" w:rsidRDefault="00376EE3" w:rsidP="00376EE3">
      <w:pPr>
        <w:tabs>
          <w:tab w:val="left" w:pos="708"/>
          <w:tab w:val="center" w:pos="4320"/>
          <w:tab w:val="right" w:pos="8640"/>
        </w:tabs>
        <w:spacing w:after="0" w:line="240" w:lineRule="auto"/>
        <w:jc w:val="center"/>
        <w:rPr>
          <w:rFonts w:ascii="Constantia" w:eastAsia="Times New Roman" w:hAnsi="Constantia" w:cs="Arial"/>
          <w:b/>
          <w:kern w:val="0"/>
          <w:sz w:val="24"/>
          <w:szCs w:val="24"/>
          <w:lang w:eastAsia="x-none"/>
          <w14:ligatures w14:val="none"/>
        </w:rPr>
      </w:pPr>
    </w:p>
    <w:p w14:paraId="630BA85F" w14:textId="77777777" w:rsidR="00376EE3" w:rsidRPr="00376EE3" w:rsidRDefault="00376EE3" w:rsidP="00376EE3">
      <w:pPr>
        <w:tabs>
          <w:tab w:val="left" w:pos="708"/>
          <w:tab w:val="center" w:pos="4320"/>
          <w:tab w:val="right" w:pos="8640"/>
        </w:tabs>
        <w:spacing w:after="0" w:line="240" w:lineRule="auto"/>
        <w:jc w:val="center"/>
        <w:rPr>
          <w:rFonts w:ascii="Constantia" w:eastAsia="Times New Roman" w:hAnsi="Constantia" w:cs="Arial"/>
          <w:b/>
          <w:kern w:val="0"/>
          <w:sz w:val="24"/>
          <w:szCs w:val="24"/>
          <w:lang w:eastAsia="x-none"/>
          <w14:ligatures w14:val="none"/>
        </w:rPr>
      </w:pPr>
      <w:r w:rsidRPr="00376EE3">
        <w:rPr>
          <w:rFonts w:ascii="Constantia" w:eastAsia="Times New Roman" w:hAnsi="Constantia" w:cs="Arial"/>
          <w:b/>
          <w:kern w:val="0"/>
          <w:sz w:val="24"/>
          <w:szCs w:val="24"/>
          <w:lang w:eastAsia="x-none"/>
          <w14:ligatures w14:val="none"/>
        </w:rPr>
        <w:t>Nacrta prijedloga Odluke o redu na pomorskom dobru</w:t>
      </w:r>
    </w:p>
    <w:p w14:paraId="514737D3"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p>
    <w:p w14:paraId="34358866"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val="x-none" w:eastAsia="x-none"/>
          <w14:ligatures w14:val="none"/>
        </w:rPr>
      </w:pPr>
      <w:r w:rsidRPr="00376EE3">
        <w:rPr>
          <w:rFonts w:ascii="Constantia" w:eastAsia="Times New Roman" w:hAnsi="Constantia" w:cs="Arial"/>
          <w:kern w:val="0"/>
          <w:sz w:val="24"/>
          <w:szCs w:val="24"/>
          <w:lang w:eastAsia="x-none"/>
          <w14:ligatures w14:val="none"/>
        </w:rPr>
        <w:t xml:space="preserve">Dana 29. srpnja 2023. godine stupio je na snagu Zakon o pomorskom dobru i morskim </w:t>
      </w:r>
      <w:r w:rsidRPr="00376EE3">
        <w:rPr>
          <w:rFonts w:ascii="Constantia" w:eastAsia="Times New Roman" w:hAnsi="Constantia" w:cs="Arial"/>
          <w:kern w:val="0"/>
          <w:sz w:val="24"/>
          <w:szCs w:val="24"/>
          <w:lang w:val="x-none" w:eastAsia="x-none"/>
          <w14:ligatures w14:val="none"/>
        </w:rPr>
        <w:t>lukama (</w:t>
      </w:r>
      <w:r w:rsidRPr="00376EE3">
        <w:rPr>
          <w:rFonts w:ascii="Constantia" w:eastAsia="Times New Roman" w:hAnsi="Constantia" w:cs="Arial"/>
          <w:kern w:val="0"/>
          <w:sz w:val="24"/>
          <w:szCs w:val="24"/>
          <w:lang w:eastAsia="x-none"/>
          <w14:ligatures w14:val="none"/>
        </w:rPr>
        <w:t>„</w:t>
      </w:r>
      <w:r w:rsidRPr="00376EE3">
        <w:rPr>
          <w:rFonts w:ascii="Constantia" w:eastAsia="Times New Roman" w:hAnsi="Constantia" w:cs="Arial"/>
          <w:kern w:val="0"/>
          <w:sz w:val="24"/>
          <w:szCs w:val="24"/>
          <w:lang w:val="x-none" w:eastAsia="x-none"/>
          <w14:ligatures w14:val="none"/>
        </w:rPr>
        <w:t>Narodne novine</w:t>
      </w:r>
      <w:r w:rsidRPr="00376EE3">
        <w:rPr>
          <w:rFonts w:ascii="Constantia" w:eastAsia="Times New Roman" w:hAnsi="Constantia" w:cs="Arial"/>
          <w:kern w:val="0"/>
          <w:sz w:val="24"/>
          <w:szCs w:val="24"/>
          <w:lang w:eastAsia="x-none"/>
          <w14:ligatures w14:val="none"/>
        </w:rPr>
        <w:t>“ broj</w:t>
      </w:r>
      <w:r w:rsidRPr="00376EE3">
        <w:rPr>
          <w:rFonts w:ascii="Constantia" w:eastAsia="Times New Roman" w:hAnsi="Constantia" w:cs="Arial"/>
          <w:kern w:val="0"/>
          <w:sz w:val="24"/>
          <w:szCs w:val="24"/>
          <w:lang w:val="x-none" w:eastAsia="x-none"/>
          <w14:ligatures w14:val="none"/>
        </w:rPr>
        <w:t xml:space="preserve"> </w:t>
      </w:r>
      <w:r w:rsidRPr="00376EE3">
        <w:rPr>
          <w:rFonts w:ascii="Constantia" w:eastAsia="Times New Roman" w:hAnsi="Constantia" w:cs="Arial"/>
          <w:kern w:val="0"/>
          <w:sz w:val="24"/>
          <w:szCs w:val="24"/>
          <w:lang w:eastAsia="x-none"/>
          <w14:ligatures w14:val="none"/>
        </w:rPr>
        <w:t>83/23</w:t>
      </w:r>
      <w:r w:rsidRPr="00376EE3">
        <w:rPr>
          <w:rFonts w:ascii="Constantia" w:eastAsia="Times New Roman" w:hAnsi="Constantia" w:cs="Arial"/>
          <w:kern w:val="0"/>
          <w:sz w:val="24"/>
          <w:szCs w:val="24"/>
          <w:lang w:val="x-none" w:eastAsia="x-none"/>
          <w14:ligatures w14:val="none"/>
        </w:rPr>
        <w:t xml:space="preserve">) </w:t>
      </w:r>
      <w:r w:rsidRPr="00376EE3">
        <w:rPr>
          <w:rFonts w:ascii="Constantia" w:eastAsia="Times New Roman" w:hAnsi="Constantia" w:cs="Arial"/>
          <w:kern w:val="0"/>
          <w:sz w:val="24"/>
          <w:szCs w:val="24"/>
          <w:lang w:eastAsia="x-none"/>
          <w14:ligatures w14:val="none"/>
        </w:rPr>
        <w:t xml:space="preserve">(dalje u tekstu: Zakon). Zakonom je </w:t>
      </w:r>
      <w:r w:rsidRPr="00376EE3">
        <w:rPr>
          <w:rFonts w:ascii="Constantia" w:eastAsia="Times New Roman" w:hAnsi="Constantia" w:cs="Arial"/>
          <w:kern w:val="0"/>
          <w:sz w:val="24"/>
          <w:szCs w:val="24"/>
          <w:lang w:val="x-none" w:eastAsia="x-none"/>
          <w14:ligatures w14:val="none"/>
        </w:rPr>
        <w:t xml:space="preserve">uređen </w:t>
      </w:r>
      <w:r w:rsidRPr="00376EE3">
        <w:rPr>
          <w:rFonts w:ascii="Constantia" w:eastAsia="Times New Roman" w:hAnsi="Constantia" w:cs="Arial"/>
          <w:kern w:val="0"/>
          <w:sz w:val="24"/>
          <w:szCs w:val="24"/>
          <w:lang w:eastAsia="x-none"/>
          <w14:ligatures w14:val="none"/>
        </w:rPr>
        <w:t xml:space="preserve">pojam i </w:t>
      </w:r>
      <w:r w:rsidRPr="00376EE3">
        <w:rPr>
          <w:rFonts w:ascii="Constantia" w:eastAsia="Times New Roman" w:hAnsi="Constantia" w:cs="Arial"/>
          <w:kern w:val="0"/>
          <w:sz w:val="24"/>
          <w:szCs w:val="24"/>
          <w:lang w:val="x-none" w:eastAsia="x-none"/>
          <w14:ligatures w14:val="none"/>
        </w:rPr>
        <w:t>pravni status pomorskog dobra, zaštita pomorskog dobra, određivanje njegovih granica,</w:t>
      </w:r>
      <w:r w:rsidRPr="00376EE3">
        <w:rPr>
          <w:rFonts w:ascii="Constantia" w:eastAsia="Times New Roman" w:hAnsi="Constantia" w:cs="Arial"/>
          <w:kern w:val="0"/>
          <w:sz w:val="24"/>
          <w:szCs w:val="24"/>
          <w:lang w:eastAsia="x-none"/>
          <w14:ligatures w14:val="none"/>
        </w:rPr>
        <w:t xml:space="preserve"> </w:t>
      </w:r>
      <w:r w:rsidRPr="00376EE3">
        <w:rPr>
          <w:rFonts w:ascii="Constantia" w:eastAsia="Times New Roman" w:hAnsi="Constantia" w:cs="Arial"/>
          <w:kern w:val="0"/>
          <w:sz w:val="24"/>
          <w:szCs w:val="24"/>
          <w:lang w:val="x-none" w:eastAsia="x-none"/>
          <w14:ligatures w14:val="none"/>
        </w:rPr>
        <w:t>evidencija i upis pomorskog dobra u katastru i zemljišnoj knjizi,</w:t>
      </w:r>
      <w:r w:rsidRPr="00376EE3">
        <w:rPr>
          <w:rFonts w:ascii="Constantia" w:eastAsia="Times New Roman" w:hAnsi="Constantia" w:cs="Arial"/>
          <w:kern w:val="0"/>
          <w:sz w:val="24"/>
          <w:szCs w:val="24"/>
          <w:lang w:eastAsia="x-none"/>
          <w14:ligatures w14:val="none"/>
        </w:rPr>
        <w:t xml:space="preserve"> </w:t>
      </w:r>
      <w:r w:rsidRPr="00376EE3">
        <w:rPr>
          <w:rFonts w:ascii="Constantia" w:eastAsia="Times New Roman" w:hAnsi="Constantia" w:cs="Arial"/>
          <w:kern w:val="0"/>
          <w:sz w:val="24"/>
          <w:szCs w:val="24"/>
          <w:lang w:val="x-none" w:eastAsia="x-none"/>
          <w14:ligatures w14:val="none"/>
        </w:rPr>
        <w:t>imovinskopravna pitanja, upravljanje, upotreba pomorskog dobra,</w:t>
      </w:r>
      <w:r w:rsidRPr="00376EE3">
        <w:rPr>
          <w:rFonts w:ascii="Constantia" w:eastAsia="Times New Roman" w:hAnsi="Constantia" w:cs="Arial"/>
          <w:kern w:val="0"/>
          <w:sz w:val="24"/>
          <w:szCs w:val="24"/>
          <w:lang w:eastAsia="x-none"/>
          <w14:ligatures w14:val="none"/>
        </w:rPr>
        <w:t xml:space="preserve"> </w:t>
      </w:r>
      <w:r w:rsidRPr="00376EE3">
        <w:rPr>
          <w:rFonts w:ascii="Constantia" w:eastAsia="Times New Roman" w:hAnsi="Constantia" w:cs="Arial"/>
          <w:kern w:val="0"/>
          <w:sz w:val="24"/>
          <w:szCs w:val="24"/>
          <w:lang w:val="x-none" w:eastAsia="x-none"/>
          <w14:ligatures w14:val="none"/>
        </w:rPr>
        <w:t>koncesije za gospodarsko korištenje pomorskog dobra, morske plaže,</w:t>
      </w:r>
      <w:r w:rsidRPr="00376EE3">
        <w:rPr>
          <w:rFonts w:ascii="Constantia" w:eastAsia="Times New Roman" w:hAnsi="Constantia" w:cs="Arial"/>
          <w:kern w:val="0"/>
          <w:sz w:val="24"/>
          <w:szCs w:val="24"/>
          <w:lang w:eastAsia="x-none"/>
          <w14:ligatures w14:val="none"/>
        </w:rPr>
        <w:t xml:space="preserve"> </w:t>
      </w:r>
      <w:r w:rsidRPr="00376EE3">
        <w:rPr>
          <w:rFonts w:ascii="Constantia" w:eastAsia="Times New Roman" w:hAnsi="Constantia" w:cs="Arial"/>
          <w:kern w:val="0"/>
          <w:sz w:val="24"/>
          <w:szCs w:val="24"/>
          <w:lang w:val="x-none" w:eastAsia="x-none"/>
          <w14:ligatures w14:val="none"/>
        </w:rPr>
        <w:t>sidrišta i privezišta, pojam i razvrstaj morskih luka, lučko područje,</w:t>
      </w:r>
      <w:r w:rsidRPr="00376EE3">
        <w:rPr>
          <w:rFonts w:ascii="Constantia" w:eastAsia="Times New Roman" w:hAnsi="Constantia" w:cs="Arial"/>
          <w:kern w:val="0"/>
          <w:sz w:val="24"/>
          <w:szCs w:val="24"/>
          <w:lang w:eastAsia="x-none"/>
          <w14:ligatures w14:val="none"/>
        </w:rPr>
        <w:t xml:space="preserve"> </w:t>
      </w:r>
      <w:r w:rsidRPr="00376EE3">
        <w:rPr>
          <w:rFonts w:ascii="Constantia" w:eastAsia="Times New Roman" w:hAnsi="Constantia" w:cs="Arial"/>
          <w:kern w:val="0"/>
          <w:sz w:val="24"/>
          <w:szCs w:val="24"/>
          <w:lang w:val="x-none" w:eastAsia="x-none"/>
          <w14:ligatures w14:val="none"/>
        </w:rPr>
        <w:t>lučke djelatnosti, luke otvorene za javni promet i osnivanje</w:t>
      </w:r>
      <w:r w:rsidRPr="00376EE3">
        <w:rPr>
          <w:rFonts w:ascii="Constantia" w:eastAsia="Times New Roman" w:hAnsi="Constantia" w:cs="Arial"/>
          <w:kern w:val="0"/>
          <w:sz w:val="24"/>
          <w:szCs w:val="24"/>
          <w:lang w:eastAsia="x-none"/>
          <w14:ligatures w14:val="none"/>
        </w:rPr>
        <w:t xml:space="preserve"> </w:t>
      </w:r>
      <w:r w:rsidRPr="00376EE3">
        <w:rPr>
          <w:rFonts w:ascii="Constantia" w:eastAsia="Times New Roman" w:hAnsi="Constantia" w:cs="Arial"/>
          <w:kern w:val="0"/>
          <w:sz w:val="24"/>
          <w:szCs w:val="24"/>
          <w:lang w:val="x-none" w:eastAsia="x-none"/>
          <w14:ligatures w14:val="none"/>
        </w:rPr>
        <w:t>lučkih uprava, luke posebne namjene te nadzor nad provedbom Zakona. Cilj Zakona je uspostavljanje integralnog, kvalitetnog i transparentnog sustava zaštite, upravljanja i korištenja pomorskog dobra u Republici Hrvatskoj.</w:t>
      </w:r>
    </w:p>
    <w:p w14:paraId="04BE765E" w14:textId="77777777" w:rsidR="00376EE3" w:rsidRPr="00376EE3" w:rsidRDefault="00376EE3" w:rsidP="00376EE3">
      <w:pPr>
        <w:autoSpaceDE w:val="0"/>
        <w:autoSpaceDN w:val="0"/>
        <w:adjustRightInd w:val="0"/>
        <w:spacing w:after="0" w:line="240" w:lineRule="auto"/>
        <w:jc w:val="both"/>
        <w:rPr>
          <w:rFonts w:ascii="Constantia" w:eastAsia="Times New Roman" w:hAnsi="Constantia" w:cs="Arial"/>
          <w:kern w:val="0"/>
          <w:sz w:val="24"/>
          <w:szCs w:val="24"/>
          <w:lang w:eastAsia="hr-HR"/>
          <w14:ligatures w14:val="none"/>
        </w:rPr>
      </w:pPr>
    </w:p>
    <w:p w14:paraId="19CFA84D" w14:textId="77777777" w:rsidR="00376EE3" w:rsidRPr="00376EE3" w:rsidRDefault="00376EE3" w:rsidP="00376EE3">
      <w:pPr>
        <w:autoSpaceDE w:val="0"/>
        <w:autoSpaceDN w:val="0"/>
        <w:adjustRightInd w:val="0"/>
        <w:spacing w:after="0" w:line="240" w:lineRule="auto"/>
        <w:jc w:val="both"/>
        <w:rPr>
          <w:rFonts w:ascii="Constantia" w:eastAsia="Times New Roman" w:hAnsi="Constantia" w:cs="Arial"/>
          <w:kern w:val="0"/>
          <w:sz w:val="24"/>
          <w:szCs w:val="24"/>
          <w:lang w:eastAsia="hr-HR"/>
          <w14:ligatures w14:val="none"/>
        </w:rPr>
      </w:pPr>
      <w:r w:rsidRPr="00376EE3">
        <w:rPr>
          <w:rFonts w:ascii="Constantia" w:eastAsia="Times New Roman" w:hAnsi="Constantia" w:cs="Arial"/>
          <w:kern w:val="0"/>
          <w:sz w:val="24"/>
          <w:szCs w:val="24"/>
          <w:lang w:eastAsia="hr-HR"/>
          <w14:ligatures w14:val="none"/>
        </w:rPr>
        <w:tab/>
        <w:t>Sukladno članku 9. Zakona nositelj vlasti i upravljanja nad pomorskim dobrom je Republika Hrvatska, međutim odredbama Zakona dio poslova upravljanja pomorskim dobrom te razmjerno s tim brigu o zaštiti i odgovornost povjerava se jedinicama područne (regionalne) samouprave i jedinicama lokalne samouprave te lučkim upravama i javnim ustanovama za zaštićene dijelove prirode, koje u ime Republike Hrvatske obavljaju pojedine poslove upravljanja pomorskim dobrom propisane Zakonom.</w:t>
      </w:r>
    </w:p>
    <w:p w14:paraId="4E7855A2" w14:textId="77777777" w:rsidR="00376EE3" w:rsidRPr="00376EE3" w:rsidRDefault="00376EE3" w:rsidP="00376EE3">
      <w:pPr>
        <w:autoSpaceDE w:val="0"/>
        <w:autoSpaceDN w:val="0"/>
        <w:adjustRightInd w:val="0"/>
        <w:spacing w:after="0" w:line="240" w:lineRule="auto"/>
        <w:jc w:val="both"/>
        <w:rPr>
          <w:rFonts w:ascii="Constantia" w:eastAsia="Times New Roman" w:hAnsi="Constantia" w:cs="Arial"/>
          <w:kern w:val="0"/>
          <w:sz w:val="24"/>
          <w:szCs w:val="24"/>
          <w:lang w:eastAsia="hr-HR"/>
          <w14:ligatures w14:val="none"/>
        </w:rPr>
      </w:pPr>
    </w:p>
    <w:p w14:paraId="797A0283"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Tako je odredbom članka 149. Zakona propisano da u svrhu održavanja reda na pomorskom dobru, na prijedlog izvršnog tijela jedinice lokalne samouprave, predstavničko tijelo jedinice lokalne samouprave donosi odluku o redu na pomorskom dobru.</w:t>
      </w:r>
      <w:r w:rsidRPr="00376EE3">
        <w:rPr>
          <w:rFonts w:ascii="Constantia" w:eastAsia="Times New Roman" w:hAnsi="Constantia" w:cs="Arial"/>
          <w:kern w:val="0"/>
          <w:sz w:val="24"/>
          <w:szCs w:val="24"/>
          <w:lang w:val="x-none" w:eastAsia="x-none"/>
          <w14:ligatures w14:val="none"/>
        </w:rPr>
        <w:t xml:space="preserve"> </w:t>
      </w:r>
      <w:r w:rsidRPr="00376EE3">
        <w:rPr>
          <w:rFonts w:ascii="Constantia" w:eastAsia="Times New Roman" w:hAnsi="Constantia" w:cs="Arial"/>
          <w:kern w:val="0"/>
          <w:sz w:val="24"/>
          <w:szCs w:val="24"/>
          <w:lang w:eastAsia="x-none"/>
          <w14:ligatures w14:val="none"/>
        </w:rPr>
        <w:t>Red na pomorskom dobru predstavlja cjelovit sustav mjera i radnji kojima se osigurava zaštita i održavanje pomorskog dobra u općoj upotrebi te se održavanje reda na pomorskom dobru financira iz sredstava za upravljanje pomorskim dobrom koja su prihod jedinice lokalne samouprave i iz vlastitih sredstava jedinice lokalne samouprave.</w:t>
      </w:r>
    </w:p>
    <w:p w14:paraId="58BF538D"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p>
    <w:p w14:paraId="3EF51AB8"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Odlukom o redu na pomorskom dobru propisuje se:</w:t>
      </w:r>
    </w:p>
    <w:p w14:paraId="5C0EDE28"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1. način uređenja i korištenja pomorskog dobra u općoj upotrebi za gospodarske i druge svrhe, građenje građevina koje se prema posebnim propisima grade bez građevinske dozvole i glavnog projekta te održavanje reda na pomorskom dobru u općoj upotrebi</w:t>
      </w:r>
    </w:p>
    <w:p w14:paraId="416D9227"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2. održavanje čistoće i čuvanje površina pomorskog dobra u općoj upotrebi</w:t>
      </w:r>
    </w:p>
    <w:p w14:paraId="238CB20B"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3. osiguranje nesmetanog prolaska duž pomorskog dobra.</w:t>
      </w:r>
    </w:p>
    <w:p w14:paraId="67971B99"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p>
    <w:p w14:paraId="2B0AA0FD"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Nadalje, istom Odlukom propisuju se mjere za provođenje mjera za održavanje reda na pomorskom dobru koje poduzima pomorski redar, obveze pravnih i fizičkih osoba i prekršajne odredbe. Zakonom se dakle uvodi osoba pomorskog redara, koja provodi poslove nadzora koje na temelju Zakona obavlja upravno tijelo jedinice lokalne samouprave. Pomorski redari su ovlašteni službenici koji imaju ovlasti obavljanja nadzora propisane Zakonom i Odlukom o redu na pomorskom dobru.</w:t>
      </w:r>
      <w:r w:rsidRPr="00376EE3">
        <w:rPr>
          <w:rFonts w:ascii="Constantia" w:eastAsia="Times New Roman" w:hAnsi="Constantia" w:cs="Arial"/>
          <w:kern w:val="0"/>
          <w:sz w:val="24"/>
          <w:szCs w:val="24"/>
          <w:lang w:val="x-none" w:eastAsia="x-none"/>
          <w14:ligatures w14:val="none"/>
        </w:rPr>
        <w:t xml:space="preserve"> </w:t>
      </w:r>
      <w:r w:rsidRPr="00376EE3">
        <w:rPr>
          <w:rFonts w:ascii="Constantia" w:eastAsia="Times New Roman" w:hAnsi="Constantia" w:cs="Arial"/>
          <w:kern w:val="0"/>
          <w:sz w:val="24"/>
          <w:szCs w:val="24"/>
          <w:lang w:eastAsia="x-none"/>
          <w14:ligatures w14:val="none"/>
        </w:rPr>
        <w:t xml:space="preserve">Pomorski redar sukladno članku 152. Zakona stječe i gubi ovlaštenje za obavljanje poslova nadzora pomorskog dobra u općoj upotrebi na temelju rješenja koje donosi Ministarstvo u čijem </w:t>
      </w:r>
      <w:r w:rsidRPr="00376EE3">
        <w:rPr>
          <w:rFonts w:ascii="Constantia" w:eastAsia="Times New Roman" w:hAnsi="Constantia" w:cs="Arial"/>
          <w:kern w:val="0"/>
          <w:sz w:val="24"/>
          <w:szCs w:val="24"/>
          <w:lang w:eastAsia="x-none"/>
          <w14:ligatures w14:val="none"/>
        </w:rPr>
        <w:lastRenderedPageBreak/>
        <w:t>su djelokrugu poslovi pomorstva.</w:t>
      </w:r>
      <w:r w:rsidRPr="00376EE3">
        <w:rPr>
          <w:rFonts w:ascii="Constantia" w:eastAsia="Times New Roman" w:hAnsi="Constantia" w:cs="Arial"/>
          <w:kern w:val="0"/>
          <w:sz w:val="24"/>
          <w:szCs w:val="24"/>
          <w:lang w:val="x-none" w:eastAsia="x-none"/>
          <w14:ligatures w14:val="none"/>
        </w:rPr>
        <w:t xml:space="preserve"> </w:t>
      </w:r>
      <w:r w:rsidRPr="00376EE3">
        <w:rPr>
          <w:rFonts w:ascii="Constantia" w:eastAsia="Times New Roman" w:hAnsi="Constantia" w:cs="Arial"/>
          <w:kern w:val="0"/>
          <w:sz w:val="24"/>
          <w:szCs w:val="24"/>
          <w:lang w:eastAsia="x-none"/>
          <w14:ligatures w14:val="none"/>
        </w:rPr>
        <w:t>Isto Ministarstvo organizira i provodi i stručno osposobljavanje pomorskih redara, a troškove tog osposobljavanja snosi jedinica lokalne samouprave. Pomorski redar mora imati najmanje gimnazijsko srednjoškolsko obrazovanje ili četverogodišnje strukovno srednjoškolsko obrazovanje te u obavljanju službene dužnosti nosi službenu odoru i ima službenu iskaznicu. Izgled službene odore te izgled i sadržaj službene iskaznice pomorskog redara propisuje predstavničko tijelo jedinice lokalne samouprave odlukom.</w:t>
      </w:r>
    </w:p>
    <w:p w14:paraId="51CECCAC"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p>
    <w:p w14:paraId="058EB642"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Sukladno odredbi članka 156. Zakona, u provedbi nadzora nad provedbom odluke o redu na pomorskom dobru pomorski redar odnosno čuvar zaštićenog dijela prirode ovlašten je:</w:t>
      </w:r>
    </w:p>
    <w:p w14:paraId="4EF2B84D"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1. zatražiti i pregledati isprave (osobna iskaznica, putovnica, izvod iz sudskog registra i sl.) na temelju kojih može utvrditi identitet stranke ili zakonskog zastupnika stranke, kao i drugih osoba nazočnih prilikom nadzora</w:t>
      </w:r>
    </w:p>
    <w:p w14:paraId="50952FE6"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2. uzimati izjave od odgovornih osoba radi pribavljanja dokaza o činjenicama koje se ne mogu izravno utvrditi, kao i od drugih osoba nazočnih prilikom nadzora</w:t>
      </w:r>
    </w:p>
    <w:p w14:paraId="065B60CD"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3. zatražiti pisanim putem od stranke točne i potpune podatke i dokumentaciju potrebnu u nadzoru</w:t>
      </w:r>
    </w:p>
    <w:p w14:paraId="7A9D4E91"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4. prikupljati dokaze i utvrđivati činjenično stanje na vizualni i drugi odgovarajući način (fotografiranjem, snimanjem kamerom, videozapisom i sl.)</w:t>
      </w:r>
    </w:p>
    <w:p w14:paraId="7FDC166B" w14:textId="77777777" w:rsid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5. obavljati i druge radnje u svrhu provedbe nadzora.</w:t>
      </w:r>
    </w:p>
    <w:p w14:paraId="364B3283" w14:textId="77777777" w:rsid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p>
    <w:p w14:paraId="39550FEA"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p>
    <w:p w14:paraId="0F506664"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r w:rsidRPr="00376EE3">
        <w:rPr>
          <w:rFonts w:ascii="Constantia" w:eastAsia="Times New Roman" w:hAnsi="Constantia" w:cs="Arial"/>
          <w:kern w:val="0"/>
          <w:sz w:val="24"/>
          <w:szCs w:val="24"/>
          <w:lang w:eastAsia="x-none"/>
          <w14:ligatures w14:val="none"/>
        </w:rPr>
        <w:t>Slijedom spomenutih odredbi novog Zakona nužno je donijeti odluku o redu na pomorskom dobru pa se stoga</w:t>
      </w:r>
      <w:r w:rsidRPr="00376EE3">
        <w:rPr>
          <w:rFonts w:ascii="Constantia" w:eastAsia="Times New Roman" w:hAnsi="Constantia" w:cs="Arial"/>
          <w:kern w:val="0"/>
          <w:sz w:val="24"/>
          <w:szCs w:val="24"/>
          <w:lang w:val="x-none" w:eastAsia="x-none"/>
          <w14:ligatures w14:val="none"/>
        </w:rPr>
        <w:t xml:space="preserve"> radi usklađenja sa novom zakonskom regulativom predlaže donošenje </w:t>
      </w:r>
      <w:r w:rsidRPr="00376EE3">
        <w:rPr>
          <w:rFonts w:ascii="Constantia" w:eastAsia="Times New Roman" w:hAnsi="Constantia" w:cs="Arial"/>
          <w:kern w:val="0"/>
          <w:sz w:val="24"/>
          <w:szCs w:val="24"/>
          <w:lang w:eastAsia="x-none"/>
          <w14:ligatures w14:val="none"/>
        </w:rPr>
        <w:t>Odluke o redu na pomorskom dobru.</w:t>
      </w:r>
    </w:p>
    <w:p w14:paraId="1A74D0C3" w14:textId="77777777" w:rsidR="00376EE3" w:rsidRPr="00376EE3" w:rsidRDefault="00376EE3" w:rsidP="00376EE3">
      <w:pPr>
        <w:tabs>
          <w:tab w:val="left" w:pos="708"/>
          <w:tab w:val="center" w:pos="4320"/>
          <w:tab w:val="right" w:pos="8640"/>
        </w:tabs>
        <w:spacing w:after="0" w:line="240" w:lineRule="auto"/>
        <w:ind w:firstLine="720"/>
        <w:jc w:val="both"/>
        <w:rPr>
          <w:rFonts w:ascii="Constantia" w:eastAsia="Times New Roman" w:hAnsi="Constantia" w:cs="Arial"/>
          <w:kern w:val="0"/>
          <w:sz w:val="24"/>
          <w:szCs w:val="24"/>
          <w:lang w:eastAsia="x-none"/>
          <w14:ligatures w14:val="none"/>
        </w:rPr>
      </w:pPr>
    </w:p>
    <w:p w14:paraId="15B070EC" w14:textId="77777777" w:rsidR="00376EE3" w:rsidRPr="00250910" w:rsidRDefault="00376EE3" w:rsidP="00376EE3">
      <w:pPr>
        <w:spacing w:after="0"/>
        <w:jc w:val="both"/>
        <w:rPr>
          <w:rFonts w:ascii="Constantia" w:hAnsi="Constantia"/>
          <w:b/>
          <w:bCs/>
          <w:sz w:val="24"/>
          <w:szCs w:val="24"/>
        </w:rPr>
      </w:pPr>
      <w:r w:rsidRPr="00250910">
        <w:rPr>
          <w:rFonts w:ascii="Constantia" w:hAnsi="Constantia"/>
          <w:b/>
          <w:bCs/>
          <w:sz w:val="24"/>
          <w:szCs w:val="24"/>
        </w:rPr>
        <w:t xml:space="preserve">Savjetovanje sa zainteresiranom javnošću </w:t>
      </w:r>
    </w:p>
    <w:p w14:paraId="2CE8CAA7" w14:textId="77777777" w:rsidR="00376EE3" w:rsidRPr="00250910" w:rsidRDefault="00376EE3" w:rsidP="00376EE3">
      <w:pPr>
        <w:spacing w:after="0"/>
        <w:jc w:val="both"/>
        <w:rPr>
          <w:rFonts w:ascii="Constantia" w:hAnsi="Constantia"/>
          <w:sz w:val="24"/>
          <w:szCs w:val="24"/>
        </w:rPr>
      </w:pPr>
    </w:p>
    <w:p w14:paraId="79B335FE" w14:textId="23AA59FE" w:rsidR="00376EE3" w:rsidRPr="00250910" w:rsidRDefault="00376EE3" w:rsidP="00376EE3">
      <w:pPr>
        <w:spacing w:after="0"/>
        <w:jc w:val="both"/>
        <w:rPr>
          <w:rFonts w:ascii="Constantia" w:hAnsi="Constantia"/>
          <w:sz w:val="24"/>
          <w:szCs w:val="24"/>
        </w:rPr>
      </w:pPr>
      <w:r w:rsidRPr="00250910">
        <w:rPr>
          <w:rFonts w:ascii="Constantia" w:hAnsi="Constantia"/>
          <w:sz w:val="24"/>
          <w:szCs w:val="24"/>
        </w:rPr>
        <w:t xml:space="preserve">U skladu s odredbama članka 11. Zakona o pravu na pristup informacijama („Narodne novine“ br. 25/13, 85/15, 69/22) </w:t>
      </w:r>
      <w:r w:rsidRPr="00250910">
        <w:rPr>
          <w:rFonts w:ascii="Constantia" w:hAnsi="Constantia"/>
          <w:sz w:val="24"/>
          <w:szCs w:val="24"/>
        </w:rPr>
        <w:t>Općina Baška Voda</w:t>
      </w:r>
      <w:r w:rsidRPr="00250910">
        <w:rPr>
          <w:rFonts w:ascii="Constantia" w:hAnsi="Constantia"/>
          <w:sz w:val="24"/>
          <w:szCs w:val="24"/>
        </w:rPr>
        <w:t>, pri donošenju Odluke, provodi savjetovanje sa zainteresiranom javnošću s ciljem upoznavanja javnosti s Nacrtom prijedloga Odluke i pribavljanjem  mišljenja, primjedbi i prijedloga zainteresirane javnosti, kako bi isti, ukoliko  su zakonito i stručno utemeljeni, bili prihvaćeni i u konačnosti ugrađeni u odredbe Odluke.</w:t>
      </w:r>
    </w:p>
    <w:p w14:paraId="6B2B3C7E" w14:textId="77777777" w:rsidR="00376EE3" w:rsidRPr="00250910" w:rsidRDefault="00376EE3" w:rsidP="00376EE3">
      <w:pPr>
        <w:spacing w:after="0"/>
        <w:jc w:val="both"/>
        <w:rPr>
          <w:rFonts w:ascii="Constantia" w:hAnsi="Constantia"/>
          <w:sz w:val="24"/>
          <w:szCs w:val="24"/>
        </w:rPr>
      </w:pPr>
    </w:p>
    <w:p w14:paraId="74BCAB47" w14:textId="77777777" w:rsidR="00376EE3" w:rsidRPr="00A26855" w:rsidRDefault="00376EE3" w:rsidP="00376EE3">
      <w:pPr>
        <w:spacing w:after="0"/>
        <w:jc w:val="both"/>
        <w:rPr>
          <w:rFonts w:ascii="Times New Roman" w:hAnsi="Times New Roman"/>
          <w:sz w:val="24"/>
          <w:szCs w:val="24"/>
        </w:rPr>
      </w:pPr>
    </w:p>
    <w:p w14:paraId="07F65BA4" w14:textId="77777777" w:rsidR="00C621E7" w:rsidRPr="00376EE3" w:rsidRDefault="00C621E7" w:rsidP="00376EE3">
      <w:pPr>
        <w:jc w:val="both"/>
        <w:rPr>
          <w:rFonts w:ascii="Constantia" w:hAnsi="Constantia"/>
          <w:sz w:val="24"/>
          <w:szCs w:val="24"/>
        </w:rPr>
      </w:pPr>
    </w:p>
    <w:sectPr w:rsidR="00C621E7" w:rsidRPr="00376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E3"/>
    <w:rsid w:val="00250910"/>
    <w:rsid w:val="00376EE3"/>
    <w:rsid w:val="00C62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7CAE"/>
  <w15:chartTrackingRefBased/>
  <w15:docId w15:val="{F2E988A6-E897-4210-839F-E6FA7C79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Gospodarenje Prostorom BV</dc:creator>
  <cp:keywords/>
  <dc:description/>
  <cp:lastModifiedBy>Gospodarenje Prostorom BV</cp:lastModifiedBy>
  <cp:revision>2</cp:revision>
  <dcterms:created xsi:type="dcterms:W3CDTF">2023-10-20T11:33:00Z</dcterms:created>
  <dcterms:modified xsi:type="dcterms:W3CDTF">2023-10-20T11:42:00Z</dcterms:modified>
</cp:coreProperties>
</file>